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54" w:rsidRPr="00A47A4E" w:rsidRDefault="00BF6F89" w:rsidP="008E2F54">
      <w:pPr>
        <w:jc w:val="right"/>
        <w:rPr>
          <w:b/>
        </w:rPr>
      </w:pPr>
      <w:r>
        <w:rPr>
          <w:b/>
        </w:rPr>
        <w:t xml:space="preserve"> </w:t>
      </w:r>
    </w:p>
    <w:p w:rsidR="008E2F54" w:rsidRPr="00A47A4E" w:rsidRDefault="008E2F54" w:rsidP="00BF6F89">
      <w:pPr>
        <w:jc w:val="right"/>
      </w:pPr>
      <w:r w:rsidRPr="00A47A4E">
        <w:rPr>
          <w:b/>
        </w:rPr>
        <w:t xml:space="preserve"> </w:t>
      </w:r>
      <w:r w:rsidR="00BF6F89">
        <w:t xml:space="preserve"> </w:t>
      </w:r>
    </w:p>
    <w:p w:rsidR="008E2F54" w:rsidRPr="00A47A4E" w:rsidRDefault="008E2F54" w:rsidP="008E2F54">
      <w:pPr>
        <w:keepNext/>
        <w:numPr>
          <w:ilvl w:val="2"/>
          <w:numId w:val="0"/>
        </w:numPr>
        <w:tabs>
          <w:tab w:val="num" w:pos="0"/>
          <w:tab w:val="left" w:pos="1122"/>
          <w:tab w:val="left" w:pos="7995"/>
        </w:tabs>
        <w:ind w:left="1122"/>
        <w:jc w:val="center"/>
        <w:outlineLvl w:val="2"/>
        <w:rPr>
          <w:b/>
          <w:bCs/>
          <w:spacing w:val="90"/>
          <w:lang w:val="ro-RO"/>
        </w:rPr>
      </w:pPr>
    </w:p>
    <w:p w:rsidR="008E2F54" w:rsidRPr="00A47A4E" w:rsidRDefault="008E2F54" w:rsidP="008E2F54">
      <w:pPr>
        <w:rPr>
          <w:b/>
          <w:bCs/>
        </w:rPr>
      </w:pPr>
      <w:r w:rsidRPr="00A47A4E">
        <w:rPr>
          <w:lang w:val="en-GB"/>
        </w:rPr>
        <w:t xml:space="preserve">  </w:t>
      </w:r>
      <w:r w:rsidRPr="00A47A4E">
        <w:rPr>
          <w:b/>
          <w:bCs/>
        </w:rPr>
        <w:t xml:space="preserve">                                         Regulile privind desfăşurarea licitaţiei</w:t>
      </w:r>
    </w:p>
    <w:p w:rsidR="008E2F54" w:rsidRPr="00A47A4E" w:rsidRDefault="008E2F54" w:rsidP="008E2F54">
      <w:pPr>
        <w:rPr>
          <w:b/>
          <w:bCs/>
        </w:rPr>
      </w:pPr>
    </w:p>
    <w:p w:rsidR="008E2F54" w:rsidRPr="00A47A4E" w:rsidRDefault="008E2F54" w:rsidP="008E2F54">
      <w:pPr>
        <w:pStyle w:val="NormalWeb"/>
        <w:numPr>
          <w:ilvl w:val="0"/>
          <w:numId w:val="2"/>
        </w:numPr>
        <w:tabs>
          <w:tab w:val="left" w:pos="1134"/>
        </w:tabs>
        <w:suppressAutoHyphens/>
        <w:spacing w:before="0" w:after="0"/>
        <w:ind w:left="0" w:firstLine="567"/>
        <w:jc w:val="both"/>
      </w:pPr>
      <w:r w:rsidRPr="00A47A4E">
        <w:t xml:space="preserve">În conformitate cu legislaţia în vigoare, la licitaţie pot participa: </w:t>
      </w:r>
    </w:p>
    <w:p w:rsidR="008E2F54" w:rsidRPr="00A47A4E" w:rsidRDefault="008E2F54" w:rsidP="008E2F54">
      <w:pPr>
        <w:pStyle w:val="NormalWeb"/>
        <w:numPr>
          <w:ilvl w:val="0"/>
          <w:numId w:val="1"/>
        </w:numPr>
        <w:tabs>
          <w:tab w:val="left" w:pos="567"/>
          <w:tab w:val="left" w:pos="927"/>
        </w:tabs>
        <w:spacing w:before="0" w:after="0"/>
        <w:ind w:left="567" w:firstLine="567"/>
      </w:pPr>
      <w:r w:rsidRPr="00A47A4E">
        <w:t xml:space="preserve"> persoane fizice şi juridice din Republica Moldova;</w:t>
      </w:r>
    </w:p>
    <w:p w:rsidR="008E2F54" w:rsidRPr="00A47A4E" w:rsidRDefault="008E2F54" w:rsidP="008E2F54">
      <w:pPr>
        <w:pStyle w:val="NormalWeb"/>
        <w:numPr>
          <w:ilvl w:val="0"/>
          <w:numId w:val="1"/>
        </w:numPr>
        <w:tabs>
          <w:tab w:val="left" w:pos="567"/>
          <w:tab w:val="left" w:pos="927"/>
        </w:tabs>
        <w:spacing w:before="0" w:after="0"/>
        <w:ind w:left="567" w:firstLine="567"/>
      </w:pPr>
      <w:r w:rsidRPr="00A47A4E">
        <w:t xml:space="preserve"> persoane fizice şi juridice străine, apatrizii;</w:t>
      </w:r>
    </w:p>
    <w:p w:rsidR="008E2F54" w:rsidRPr="00A47A4E" w:rsidRDefault="008E2F54" w:rsidP="008E2F54">
      <w:pPr>
        <w:pStyle w:val="NormalWeb"/>
        <w:numPr>
          <w:ilvl w:val="0"/>
          <w:numId w:val="1"/>
        </w:numPr>
        <w:tabs>
          <w:tab w:val="left" w:pos="567"/>
          <w:tab w:val="left" w:pos="927"/>
        </w:tabs>
        <w:spacing w:before="0" w:after="0"/>
        <w:ind w:left="567" w:firstLine="567"/>
      </w:pPr>
      <w:r w:rsidRPr="00A47A4E">
        <w:t xml:space="preserve"> asociaţii ale persoanelor fizice şi juridice din Republica Moldova şi străine.</w:t>
      </w:r>
    </w:p>
    <w:p w:rsidR="008E2F54" w:rsidRPr="00A47A4E" w:rsidRDefault="008E2F54" w:rsidP="008E2F54">
      <w:pPr>
        <w:pStyle w:val="BodyText"/>
        <w:widowControl w:val="0"/>
        <w:rPr>
          <w:b/>
        </w:rPr>
      </w:pPr>
    </w:p>
    <w:p w:rsidR="008E2F54" w:rsidRPr="00A47A4E" w:rsidRDefault="008E2F54" w:rsidP="008E2F54">
      <w:pPr>
        <w:pStyle w:val="BodyText"/>
        <w:widowControl w:val="0"/>
        <w:numPr>
          <w:ilvl w:val="0"/>
          <w:numId w:val="2"/>
        </w:numPr>
        <w:ind w:left="1119" w:hanging="567"/>
      </w:pPr>
      <w:r w:rsidRPr="00A47A4E">
        <w:rPr>
          <w:lang w:val="en-US" w:eastAsia="en-US"/>
        </w:rPr>
        <w:t>În conformitate cu art. 6 alin. (2) al Legii privind preţul normativ şi modul de vânzare-</w:t>
      </w:r>
      <w:r>
        <w:rPr>
          <w:lang w:val="en-US" w:eastAsia="en-US"/>
        </w:rPr>
        <w:t>c</w:t>
      </w:r>
      <w:r w:rsidRPr="00A47A4E">
        <w:rPr>
          <w:lang w:val="en-US" w:eastAsia="en-US"/>
        </w:rPr>
        <w:t xml:space="preserve">umpărare a pământului nr. 1308-XIII din 25.07.2007, </w:t>
      </w:r>
      <w:r w:rsidRPr="00A47A4E">
        <w:rPr>
          <w:lang w:val="ro-RO" w:eastAsia="en-US"/>
        </w:rPr>
        <w:t>terenurile cu destinaţie agricolă</w:t>
      </w:r>
      <w:r>
        <w:rPr>
          <w:lang w:val="ro-RO" w:eastAsia="en-US"/>
        </w:rPr>
        <w:t xml:space="preserve"> </w:t>
      </w:r>
      <w:r w:rsidRPr="00A47A4E">
        <w:rPr>
          <w:lang w:val="ro-RO" w:eastAsia="en-US"/>
        </w:rPr>
        <w:t>nu pot fi vândute persoanelor fizice şi juridice străine, precum şi persoanelor juridice al</w:t>
      </w:r>
      <w:r>
        <w:rPr>
          <w:lang w:val="ro-RO" w:eastAsia="en-US"/>
        </w:rPr>
        <w:t xml:space="preserve"> </w:t>
      </w:r>
      <w:r w:rsidRPr="00A47A4E">
        <w:rPr>
          <w:lang w:val="ro-RO" w:eastAsia="en-US"/>
        </w:rPr>
        <w:t>căror capital social conţine investiţii străine (întreprinderilor cu capital străin).</w:t>
      </w:r>
      <w:r w:rsidRPr="00A47A4E">
        <w:t xml:space="preserve">  </w:t>
      </w:r>
    </w:p>
    <w:p w:rsidR="008E2F54" w:rsidRPr="00A47A4E" w:rsidRDefault="008E2F54" w:rsidP="008E2F54">
      <w:pPr>
        <w:pStyle w:val="NormalWeb"/>
        <w:numPr>
          <w:ilvl w:val="0"/>
          <w:numId w:val="2"/>
        </w:numPr>
        <w:tabs>
          <w:tab w:val="left" w:pos="1134"/>
        </w:tabs>
        <w:suppressAutoHyphens/>
        <w:spacing w:before="120" w:after="0"/>
        <w:ind w:left="0" w:firstLine="567"/>
        <w:jc w:val="both"/>
      </w:pPr>
      <w:r w:rsidRPr="00A47A4E">
        <w:t>Solicitantul de a participa la licitaţie are dreptul:</w:t>
      </w:r>
    </w:p>
    <w:p w:rsidR="008E2F54" w:rsidRPr="00A47A4E" w:rsidRDefault="008E2F54" w:rsidP="008E2F54">
      <w:pPr>
        <w:pStyle w:val="NormalWeb"/>
        <w:numPr>
          <w:ilvl w:val="0"/>
          <w:numId w:val="3"/>
        </w:numPr>
        <w:tabs>
          <w:tab w:val="left" w:pos="567"/>
          <w:tab w:val="left" w:pos="927"/>
        </w:tabs>
        <w:spacing w:before="0" w:after="0"/>
        <w:ind w:left="567" w:firstLine="567"/>
      </w:pPr>
      <w:r w:rsidRPr="00A47A4E">
        <w:t xml:space="preserve"> să ia act de documentele referitoare la bunurile expuse la licitaţie; </w:t>
      </w:r>
    </w:p>
    <w:p w:rsidR="008E2F54" w:rsidRPr="00A47A4E" w:rsidRDefault="008E2F54" w:rsidP="008E2F54">
      <w:pPr>
        <w:pStyle w:val="NormalWeb"/>
        <w:numPr>
          <w:ilvl w:val="0"/>
          <w:numId w:val="3"/>
        </w:numPr>
        <w:tabs>
          <w:tab w:val="left" w:pos="567"/>
          <w:tab w:val="left" w:pos="927"/>
        </w:tabs>
        <w:spacing w:before="0" w:after="0"/>
        <w:ind w:left="567" w:firstLine="567"/>
      </w:pPr>
      <w:r w:rsidRPr="00A47A4E">
        <w:t xml:space="preserve"> să examineze la faţa locului bunurile expuse la licitaţie;</w:t>
      </w:r>
    </w:p>
    <w:p w:rsidR="008E2F54" w:rsidRPr="00A47A4E" w:rsidRDefault="008E2F54" w:rsidP="008E2F54">
      <w:pPr>
        <w:pStyle w:val="NormalWeb"/>
        <w:numPr>
          <w:ilvl w:val="0"/>
          <w:numId w:val="3"/>
        </w:numPr>
        <w:tabs>
          <w:tab w:val="left" w:pos="567"/>
          <w:tab w:val="left" w:pos="927"/>
        </w:tabs>
        <w:spacing w:before="0" w:after="0"/>
        <w:ind w:left="567" w:firstLine="567"/>
      </w:pPr>
      <w:r w:rsidRPr="00A47A4E">
        <w:t xml:space="preserve"> să participe la licitaţie personal sau prin reprezentant, în modul stabilit. </w:t>
      </w:r>
    </w:p>
    <w:p w:rsidR="008E2F54" w:rsidRPr="00BF6F89" w:rsidRDefault="008E2F54" w:rsidP="00E36DEA">
      <w:pPr>
        <w:pStyle w:val="NormalWeb"/>
        <w:numPr>
          <w:ilvl w:val="0"/>
          <w:numId w:val="2"/>
        </w:numPr>
        <w:tabs>
          <w:tab w:val="left" w:pos="1134"/>
        </w:tabs>
        <w:suppressAutoHyphens/>
        <w:spacing w:before="120" w:after="0"/>
        <w:ind w:left="1119" w:hanging="567"/>
        <w:jc w:val="both"/>
        <w:rPr>
          <w:lang w:val="ro-RO"/>
        </w:rPr>
      </w:pPr>
      <w:r w:rsidRPr="00BF6F89">
        <w:rPr>
          <w:lang w:val="ro-RO"/>
        </w:rPr>
        <w:t xml:space="preserve">Pentru a participa la licitaţie solicitanul, după publicarea avizului privind desfăşurarea licitaţiei, dar cel târziu cu o zi înainte de data petrecerii licitaţiei, prezintă Departamentului </w:t>
      </w:r>
      <w:r w:rsidR="00BF6F89" w:rsidRPr="00BF6F89">
        <w:rPr>
          <w:lang w:val="ro-RO"/>
        </w:rPr>
        <w:t>Administrare</w:t>
      </w:r>
      <w:r w:rsidRPr="00BF6F89">
        <w:rPr>
          <w:lang w:val="ro-RO"/>
        </w:rPr>
        <w:t xml:space="preserve">: </w:t>
      </w:r>
    </w:p>
    <w:p w:rsidR="008E2F54" w:rsidRPr="00A47A4E" w:rsidRDefault="008E2F54" w:rsidP="008E2F54">
      <w:pPr>
        <w:pStyle w:val="NormalWeb"/>
        <w:numPr>
          <w:ilvl w:val="0"/>
          <w:numId w:val="4"/>
        </w:numPr>
        <w:tabs>
          <w:tab w:val="left" w:pos="567"/>
          <w:tab w:val="left" w:pos="927"/>
        </w:tabs>
        <w:spacing w:before="0" w:after="0"/>
        <w:ind w:left="1287" w:hanging="153"/>
      </w:pPr>
      <w:r w:rsidRPr="00A47A4E">
        <w:t>Cererea</w:t>
      </w:r>
      <w:r>
        <w:t xml:space="preserve"> de intenţie privind participarea la licitaţie</w:t>
      </w:r>
      <w:r w:rsidRPr="00A47A4E">
        <w:t>;</w:t>
      </w:r>
    </w:p>
    <w:p w:rsidR="008E2F54" w:rsidRPr="00A47A4E" w:rsidRDefault="008E2F54" w:rsidP="008E2F54">
      <w:pPr>
        <w:pStyle w:val="NormalWeb"/>
        <w:numPr>
          <w:ilvl w:val="0"/>
          <w:numId w:val="4"/>
        </w:numPr>
        <w:tabs>
          <w:tab w:val="clear" w:pos="0"/>
          <w:tab w:val="left" w:pos="567"/>
          <w:tab w:val="left" w:pos="927"/>
        </w:tabs>
        <w:spacing w:before="120" w:after="0"/>
        <w:ind w:left="1403" w:hanging="284"/>
        <w:jc w:val="both"/>
        <w:rPr>
          <w:lang w:val="ro-RO"/>
        </w:rPr>
      </w:pPr>
      <w:r w:rsidRPr="00A47A4E">
        <w:t>documentele care identifică participantul la licitaţie (buletinul de identitate pentru persoanele fizice sau extrasul din registrul persoanelor juridice pentru persoanele juridice)</w:t>
      </w:r>
      <w:r w:rsidRPr="00A47A4E">
        <w:rPr>
          <w:lang w:val="ro-RO"/>
        </w:rPr>
        <w:t xml:space="preserve"> sau, după caz, reprezentantul acestuia şi împuternicirile corespunzătoare;</w:t>
      </w:r>
    </w:p>
    <w:p w:rsidR="008E2F54" w:rsidRPr="00A47A4E" w:rsidRDefault="008E2F54" w:rsidP="008E2F54">
      <w:pPr>
        <w:pStyle w:val="NormalWeb"/>
        <w:numPr>
          <w:ilvl w:val="0"/>
          <w:numId w:val="4"/>
        </w:numPr>
        <w:tabs>
          <w:tab w:val="left" w:pos="567"/>
          <w:tab w:val="left" w:pos="927"/>
        </w:tabs>
        <w:spacing w:before="0" w:after="0"/>
        <w:ind w:left="1418" w:hanging="284"/>
      </w:pPr>
      <w:r w:rsidRPr="00A47A4E">
        <w:t xml:space="preserve">documentul care confirmă achitarea acontului la contul indicat în anunţul privind desfăşurarea licitaţiei. </w:t>
      </w:r>
    </w:p>
    <w:p w:rsidR="008E2F54" w:rsidRPr="00A47A4E" w:rsidRDefault="00BF6F89" w:rsidP="008E2F54">
      <w:pPr>
        <w:pStyle w:val="NormalWeb"/>
        <w:tabs>
          <w:tab w:val="left" w:pos="1701"/>
          <w:tab w:val="left" w:pos="10176"/>
        </w:tabs>
        <w:suppressAutoHyphens/>
        <w:spacing w:before="120" w:after="0"/>
        <w:ind w:left="1119" w:hanging="567"/>
        <w:jc w:val="both"/>
      </w:pPr>
      <w:r>
        <w:t>5</w:t>
      </w:r>
      <w:r w:rsidR="008E2F54" w:rsidRPr="00A47A4E">
        <w:t>)   Acontul se depune pe contul indicat în anunţul privind desfăşurarea licitaţiei, mărimea lui constituind 10% din preţul de expunere la vânzare a bunului. În cazul în care participantul la licitaţie intenţionează să participe la licitarea mai multor bunuri (loturi) expuse la vânzare, el achită acontul pentru fiecare din ele. Acontul cîştigătorului licitaţiei este inclus în preţul bunului adjudecat. Aconturile celorlalţi participanţi la licitaţie se restituie în termen de 5 zile lucrătoare de la data desfăşurării licitaţiei.</w:t>
      </w:r>
    </w:p>
    <w:p w:rsidR="008E2F54" w:rsidRPr="00A47A4E" w:rsidRDefault="008E2F54" w:rsidP="008E2F54">
      <w:pPr>
        <w:pStyle w:val="NormalWeb"/>
        <w:tabs>
          <w:tab w:val="left" w:pos="1134"/>
          <w:tab w:val="left" w:pos="1701"/>
        </w:tabs>
        <w:suppressAutoHyphens/>
        <w:spacing w:before="120" w:after="0"/>
        <w:ind w:left="1119" w:hanging="567"/>
        <w:jc w:val="both"/>
      </w:pPr>
      <w:r w:rsidRPr="00A47A4E">
        <w:t xml:space="preserve"> </w:t>
      </w:r>
      <w:r w:rsidR="00BF6F89">
        <w:t>6</w:t>
      </w:r>
      <w:r w:rsidRPr="00A47A4E">
        <w:t xml:space="preserve">)   În ziua desfăşurării licitaţiei participantul la licitaţie este obligat să se prezinte în locul şi ora indicate în anunţul privind desfăşurarea licitaţiei. </w:t>
      </w:r>
    </w:p>
    <w:p w:rsidR="008E2F54" w:rsidRPr="00A47A4E" w:rsidRDefault="00BF6F89" w:rsidP="008E2F54">
      <w:pPr>
        <w:pStyle w:val="NormalWeb"/>
        <w:tabs>
          <w:tab w:val="left" w:pos="1134"/>
          <w:tab w:val="left" w:pos="1701"/>
        </w:tabs>
        <w:suppressAutoHyphens/>
        <w:spacing w:before="120" w:after="0"/>
        <w:ind w:left="426"/>
        <w:jc w:val="both"/>
      </w:pPr>
      <w:r>
        <w:t xml:space="preserve">   7</w:t>
      </w:r>
      <w:r w:rsidR="008E2F54" w:rsidRPr="00A47A4E">
        <w:t xml:space="preserve">)     Licitaţia este condusă de către preşedintele Comisiei de </w:t>
      </w:r>
      <w:r w:rsidR="008E2F54">
        <w:t>vânz</w:t>
      </w:r>
      <w:r w:rsidR="008E2F54" w:rsidRPr="00A47A4E">
        <w:rPr>
          <w:lang w:val="ro-RO"/>
        </w:rPr>
        <w:t>are</w:t>
      </w:r>
      <w:r w:rsidR="008E2F54" w:rsidRPr="00A47A4E">
        <w:t xml:space="preserve">.  </w:t>
      </w:r>
    </w:p>
    <w:p w:rsidR="008E2F54" w:rsidRPr="00A47A4E" w:rsidRDefault="00BF6F89" w:rsidP="008E2F54">
      <w:pPr>
        <w:pStyle w:val="NormalWeb"/>
        <w:tabs>
          <w:tab w:val="left" w:pos="1134"/>
          <w:tab w:val="left" w:pos="1701"/>
        </w:tabs>
        <w:suppressAutoHyphens/>
        <w:spacing w:before="120" w:after="0"/>
        <w:ind w:firstLine="552"/>
        <w:jc w:val="both"/>
      </w:pPr>
      <w:r>
        <w:t>8</w:t>
      </w:r>
      <w:r w:rsidR="008E2F54">
        <w:t xml:space="preserve">)      </w:t>
      </w:r>
      <w:r w:rsidR="008E2F54" w:rsidRPr="00A47A4E">
        <w:t xml:space="preserve">Licitaţia se va desfăşura în următoarele condiţii: </w:t>
      </w:r>
    </w:p>
    <w:p w:rsidR="008E2F54" w:rsidRDefault="008E2F54" w:rsidP="008E2F54">
      <w:pPr>
        <w:pStyle w:val="NormalWeb"/>
        <w:numPr>
          <w:ilvl w:val="0"/>
          <w:numId w:val="5"/>
        </w:numPr>
        <w:tabs>
          <w:tab w:val="left" w:pos="567"/>
          <w:tab w:val="left" w:pos="927"/>
        </w:tabs>
        <w:spacing w:before="0" w:after="0"/>
        <w:ind w:left="1418" w:hanging="284"/>
      </w:pPr>
      <w:r w:rsidRPr="00A47A4E">
        <w:t>înainte de începerea licitaţiei, se stabileşte pasul licitării care nu va fi mai mic de 3</w:t>
      </w:r>
      <w:r>
        <w:t xml:space="preserve"> </w:t>
      </w:r>
      <w:r w:rsidRPr="00A47A4E">
        <w:t xml:space="preserve">(trei) % din preţul de expunere, dar nu mai mult de 100 000 lei; </w:t>
      </w:r>
    </w:p>
    <w:p w:rsidR="008E2F54" w:rsidRPr="006F1685" w:rsidRDefault="008E2F54" w:rsidP="008E2F54">
      <w:pPr>
        <w:pStyle w:val="NormalWeb"/>
        <w:numPr>
          <w:ilvl w:val="0"/>
          <w:numId w:val="5"/>
        </w:numPr>
        <w:tabs>
          <w:tab w:val="left" w:pos="567"/>
          <w:tab w:val="left" w:pos="927"/>
        </w:tabs>
        <w:spacing w:before="0" w:after="0"/>
        <w:ind w:left="1418" w:hanging="284"/>
      </w:pPr>
      <w:r w:rsidRPr="00A47A4E">
        <w:t xml:space="preserve">se descrie, succint, bunul expus la licitaţie; </w:t>
      </w:r>
    </w:p>
    <w:p w:rsidR="008E2F54" w:rsidRPr="00A47A4E" w:rsidRDefault="008E2F54" w:rsidP="008E2F54">
      <w:pPr>
        <w:pStyle w:val="NormalWeb"/>
        <w:numPr>
          <w:ilvl w:val="0"/>
          <w:numId w:val="5"/>
        </w:numPr>
        <w:tabs>
          <w:tab w:val="left" w:pos="567"/>
          <w:tab w:val="left" w:pos="927"/>
        </w:tabs>
        <w:spacing w:before="0" w:after="0"/>
        <w:ind w:left="1418" w:hanging="284"/>
      </w:pPr>
      <w:r w:rsidRPr="00A47A4E">
        <w:t xml:space="preserve">se anunţă participanţii înregistraţi pentru licitarea bunului respectiv; </w:t>
      </w:r>
    </w:p>
    <w:p w:rsidR="008E2F54" w:rsidRDefault="008E2F54" w:rsidP="008E2F54">
      <w:pPr>
        <w:pStyle w:val="NormalWeb"/>
        <w:numPr>
          <w:ilvl w:val="0"/>
          <w:numId w:val="5"/>
        </w:numPr>
        <w:tabs>
          <w:tab w:val="left" w:pos="567"/>
          <w:tab w:val="left" w:pos="927"/>
        </w:tabs>
        <w:spacing w:before="0" w:after="0"/>
        <w:ind w:left="1418" w:hanging="284"/>
        <w:jc w:val="both"/>
      </w:pPr>
      <w:r w:rsidRPr="00A47A4E">
        <w:t>începutul licitaţiei este considerat momentul din care se anunţă preţul de expunere</w:t>
      </w:r>
      <w:r>
        <w:t xml:space="preserve"> la vânzare</w:t>
      </w:r>
      <w:r w:rsidRPr="00A47A4E">
        <w:t xml:space="preserve"> al </w:t>
      </w:r>
      <w:r>
        <w:t>b</w:t>
      </w:r>
      <w:r w:rsidRPr="00A47A4E">
        <w:t>unului şi pasul licitării;</w:t>
      </w:r>
    </w:p>
    <w:p w:rsidR="008E2F54" w:rsidRDefault="008E2F54" w:rsidP="008E2F54">
      <w:pPr>
        <w:pStyle w:val="NormalWeb"/>
        <w:numPr>
          <w:ilvl w:val="0"/>
          <w:numId w:val="5"/>
        </w:numPr>
        <w:tabs>
          <w:tab w:val="left" w:pos="567"/>
          <w:tab w:val="left" w:pos="927"/>
        </w:tabs>
        <w:spacing w:before="0" w:after="0"/>
        <w:ind w:left="1418" w:hanging="284"/>
        <w:jc w:val="both"/>
      </w:pPr>
      <w:r w:rsidRPr="00A47A4E">
        <w:t xml:space="preserve">după anunţarea preţului de expunere la </w:t>
      </w:r>
      <w:r>
        <w:t>vânz</w:t>
      </w:r>
      <w:r w:rsidRPr="00A47A4E">
        <w:t>are a bunului, se aşteaptă propuneri de majorare a lui, în conformitate cu pasul stabilit;</w:t>
      </w:r>
    </w:p>
    <w:p w:rsidR="008E2F54" w:rsidRPr="00A47A4E" w:rsidRDefault="008E2F54" w:rsidP="008E2F54">
      <w:pPr>
        <w:pStyle w:val="NormalWeb"/>
        <w:numPr>
          <w:ilvl w:val="0"/>
          <w:numId w:val="5"/>
        </w:numPr>
        <w:tabs>
          <w:tab w:val="left" w:pos="567"/>
          <w:tab w:val="left" w:pos="927"/>
        </w:tabs>
        <w:spacing w:before="0" w:after="0"/>
        <w:ind w:left="1418" w:hanging="284"/>
        <w:jc w:val="both"/>
      </w:pPr>
      <w:r>
        <w:lastRenderedPageBreak/>
        <w:t>participantul</w:t>
      </w:r>
      <w:r w:rsidRPr="00A47A4E">
        <w:t xml:space="preserve"> care doreşte să propună un preţ majorat, ridică m</w:t>
      </w:r>
      <w:r w:rsidR="00BF6F89">
        <w:rPr>
          <w:lang w:val="ro-RO"/>
        </w:rPr>
        <w:t>â</w:t>
      </w:r>
      <w:r w:rsidRPr="00A47A4E">
        <w:t xml:space="preserve">na şi numeşte preţul nou. Se anunţă participantul care primul a propus un preţ majorat şi se anunţă preţul propus. </w:t>
      </w:r>
      <w:r w:rsidRPr="00045DE3">
        <w:rPr>
          <w:lang w:val="ro-RO"/>
        </w:rPr>
        <w:t xml:space="preserve">În cazul în care </w:t>
      </w:r>
      <w:r w:rsidRPr="00A47A4E">
        <w:t xml:space="preserve">după ce s-a anunţat de trei ori preţul şi niciunul dintre participanţi nu propune un preţ mai mare, se anunţă adjudecarea în favoarea participantului care a propus acest preţ. După aceasta, licitarea bunului respectiv se consideră încheiată. </w:t>
      </w:r>
    </w:p>
    <w:p w:rsidR="008E2F54" w:rsidRPr="00A47A4E" w:rsidRDefault="008E2F54" w:rsidP="00BF6F89">
      <w:pPr>
        <w:pStyle w:val="NormalWeb"/>
        <w:numPr>
          <w:ilvl w:val="0"/>
          <w:numId w:val="6"/>
        </w:numPr>
        <w:tabs>
          <w:tab w:val="left" w:pos="1134"/>
          <w:tab w:val="left" w:pos="1701"/>
        </w:tabs>
        <w:suppressAutoHyphens/>
        <w:spacing w:before="120" w:after="0"/>
        <w:jc w:val="both"/>
      </w:pPr>
      <w:r w:rsidRPr="00A47A4E">
        <w:t xml:space="preserve">În cazul înregistrării la licitaţie a unui singur participant, Comisia de vânzare este în drept să vândă acestuia bunul solicitat la preţul de expunere la </w:t>
      </w:r>
      <w:r>
        <w:t>vânz</w:t>
      </w:r>
      <w:r w:rsidRPr="00A47A4E">
        <w:t>are a bunului.</w:t>
      </w:r>
    </w:p>
    <w:p w:rsidR="008E2F54" w:rsidRPr="00A47A4E" w:rsidRDefault="008E2F54" w:rsidP="008E2F54">
      <w:pPr>
        <w:pStyle w:val="NormalWeb"/>
        <w:numPr>
          <w:ilvl w:val="0"/>
          <w:numId w:val="6"/>
        </w:numPr>
        <w:tabs>
          <w:tab w:val="left" w:pos="1134"/>
          <w:tab w:val="left" w:pos="1701"/>
        </w:tabs>
        <w:suppressAutoHyphens/>
        <w:spacing w:before="0" w:after="80"/>
        <w:ind w:hanging="518"/>
        <w:jc w:val="both"/>
      </w:pPr>
      <w:r w:rsidRPr="00A47A4E">
        <w:t xml:space="preserve">Participantul la licitaţie căruia i s-a adjudecat bunul este obligat: </w:t>
      </w:r>
    </w:p>
    <w:p w:rsidR="008E2F54" w:rsidRPr="00A47A4E" w:rsidRDefault="008E2F54" w:rsidP="008E2F54">
      <w:pPr>
        <w:pStyle w:val="NormalWeb"/>
        <w:tabs>
          <w:tab w:val="left" w:pos="567"/>
          <w:tab w:val="left" w:pos="1377"/>
        </w:tabs>
        <w:spacing w:before="0" w:after="80"/>
        <w:ind w:firstLine="1119"/>
      </w:pPr>
      <w:r w:rsidRPr="00A47A4E">
        <w:t>a) să semneze procesul-verbal privind desfăşurarea licitaţiei;</w:t>
      </w:r>
    </w:p>
    <w:p w:rsidR="008E2F54" w:rsidRDefault="008E2F54" w:rsidP="008E2F54">
      <w:pPr>
        <w:pStyle w:val="NormalWeb"/>
        <w:tabs>
          <w:tab w:val="left" w:pos="567"/>
        </w:tabs>
        <w:spacing w:before="0" w:after="80"/>
        <w:ind w:left="1119"/>
      </w:pPr>
      <w:r w:rsidRPr="00A47A4E">
        <w:t xml:space="preserve">b) să semneze contractul de vânzare-cumpărare în termen de 15 zile calendaristice din data desfăşurării licitaţiei şi să achite preţul bunului în termenul stabilit în contractul de </w:t>
      </w:r>
      <w:r>
        <w:t>vânz</w:t>
      </w:r>
      <w:r w:rsidRPr="00A47A4E">
        <w:t xml:space="preserve">are-cumpărare; </w:t>
      </w:r>
    </w:p>
    <w:p w:rsidR="008E2F54" w:rsidRPr="00A47A4E" w:rsidRDefault="008E2F54" w:rsidP="008E2F54">
      <w:pPr>
        <w:pStyle w:val="NormalWeb"/>
        <w:tabs>
          <w:tab w:val="left" w:pos="567"/>
        </w:tabs>
        <w:spacing w:before="0" w:after="80"/>
        <w:ind w:left="1119"/>
      </w:pPr>
      <w:r>
        <w:t xml:space="preserve">c) </w:t>
      </w:r>
      <w:r w:rsidRPr="00A47A4E">
        <w:t xml:space="preserve">să asigure înregistrarea dreptului de proprietate asupra bunului în registrul corespunzător. </w:t>
      </w:r>
    </w:p>
    <w:p w:rsidR="008E2F54" w:rsidRPr="00A47A4E" w:rsidRDefault="008E2F54" w:rsidP="008E2F54">
      <w:pPr>
        <w:pStyle w:val="NormalWeb"/>
        <w:spacing w:before="120" w:after="0"/>
        <w:ind w:left="1119" w:hanging="851"/>
        <w:jc w:val="both"/>
        <w:rPr>
          <w:lang w:val="ro-RO"/>
        </w:rPr>
      </w:pPr>
      <w:r w:rsidRPr="00A47A4E">
        <w:rPr>
          <w:lang w:val="ro-RO"/>
        </w:rPr>
        <w:t>1</w:t>
      </w:r>
      <w:r w:rsidR="00BF6F89">
        <w:rPr>
          <w:lang w:val="ro-RO"/>
        </w:rPr>
        <w:t>1</w:t>
      </w:r>
      <w:r w:rsidRPr="00A47A4E">
        <w:rPr>
          <w:lang w:val="ro-RO"/>
        </w:rPr>
        <w:t>)   Neachitarea de către cumpărător în termenele şi condiţiile stabilite a preţului bunului adjudecat constituie temei de reziliere a contractului de vânzare-cumpărare.</w:t>
      </w:r>
    </w:p>
    <w:p w:rsidR="008E2F54" w:rsidRPr="00A47A4E" w:rsidRDefault="008E2F54" w:rsidP="008E2F54">
      <w:pPr>
        <w:pStyle w:val="NormalWeb"/>
        <w:spacing w:before="120" w:after="0"/>
        <w:ind w:left="1119" w:hanging="851"/>
        <w:jc w:val="both"/>
        <w:rPr>
          <w:lang w:val="ro-RO"/>
        </w:rPr>
      </w:pPr>
      <w:r w:rsidRPr="00A47A4E">
        <w:rPr>
          <w:lang w:val="ro-RO"/>
        </w:rPr>
        <w:t>1</w:t>
      </w:r>
      <w:r w:rsidR="00BF6F89">
        <w:rPr>
          <w:lang w:val="ro-RO"/>
        </w:rPr>
        <w:t>2</w:t>
      </w:r>
      <w:r w:rsidRPr="00A47A4E">
        <w:rPr>
          <w:lang w:val="ro-RO"/>
        </w:rPr>
        <w:t>)  Acontul nu se resti</w:t>
      </w:r>
      <w:r>
        <w:rPr>
          <w:lang w:val="ro-RO"/>
        </w:rPr>
        <w:t>t</w:t>
      </w:r>
      <w:r w:rsidRPr="00A47A4E">
        <w:rPr>
          <w:lang w:val="ro-RO"/>
        </w:rPr>
        <w:t>uie în cazul:</w:t>
      </w:r>
    </w:p>
    <w:p w:rsidR="008E2F54" w:rsidRPr="00A47A4E" w:rsidRDefault="008E2F54" w:rsidP="008E2F54">
      <w:pPr>
        <w:pStyle w:val="NormalWeb"/>
        <w:tabs>
          <w:tab w:val="left" w:pos="1134"/>
          <w:tab w:val="left" w:pos="1403"/>
        </w:tabs>
        <w:suppressAutoHyphens/>
        <w:spacing w:before="120" w:after="0"/>
        <w:ind w:left="933" w:firstLine="45"/>
        <w:jc w:val="both"/>
      </w:pPr>
      <w:r>
        <w:t xml:space="preserve">a) </w:t>
      </w:r>
      <w:r w:rsidRPr="00A47A4E">
        <w:t>neprezentării la licitaţie</w:t>
      </w:r>
      <w:r w:rsidRPr="00A47A4E">
        <w:rPr>
          <w:lang w:val="ro-RO"/>
        </w:rPr>
        <w:t xml:space="preserve"> a solicitantului de a participa la licitaţie;</w:t>
      </w:r>
    </w:p>
    <w:p w:rsidR="008E2F54" w:rsidRPr="00A47A4E" w:rsidRDefault="008E2F54" w:rsidP="008E2F54">
      <w:pPr>
        <w:pStyle w:val="NormalWeb"/>
        <w:numPr>
          <w:ilvl w:val="0"/>
          <w:numId w:val="8"/>
        </w:numPr>
        <w:spacing w:before="120" w:after="0"/>
        <w:ind w:hanging="284"/>
        <w:jc w:val="both"/>
        <w:rPr>
          <w:lang w:val="ro-RO"/>
        </w:rPr>
      </w:pPr>
      <w:r w:rsidRPr="00A47A4E">
        <w:rPr>
          <w:lang w:val="ro-RO"/>
        </w:rPr>
        <w:t xml:space="preserve">refuzului participantului la licitaţie, în cazul înregistrării unui singur participant, de a oferi preţul de expunere la </w:t>
      </w:r>
      <w:r>
        <w:rPr>
          <w:lang w:val="ro-RO"/>
        </w:rPr>
        <w:t>vânz</w:t>
      </w:r>
      <w:r w:rsidRPr="00A47A4E">
        <w:rPr>
          <w:lang w:val="ro-RO"/>
        </w:rPr>
        <w:t>are a bunului;</w:t>
      </w:r>
    </w:p>
    <w:p w:rsidR="008E2F54" w:rsidRPr="00A47A4E" w:rsidRDefault="008E2F54" w:rsidP="008E2F54">
      <w:pPr>
        <w:pStyle w:val="NormalWeb"/>
        <w:numPr>
          <w:ilvl w:val="0"/>
          <w:numId w:val="8"/>
        </w:numPr>
        <w:spacing w:before="120" w:after="0"/>
        <w:ind w:hanging="284"/>
        <w:jc w:val="both"/>
        <w:rPr>
          <w:lang w:val="ro-RO"/>
        </w:rPr>
      </w:pPr>
      <w:r w:rsidRPr="00A47A4E">
        <w:rPr>
          <w:lang w:val="ro-RO"/>
        </w:rPr>
        <w:t xml:space="preserve">refuzului participanţilor la licitaţie, în cazul înregistrării a doi sau mai mulţi participanţi, de a oferi un preţ mai mare cu un pas decît preţul de expunere la </w:t>
      </w:r>
      <w:r>
        <w:rPr>
          <w:lang w:val="ro-RO"/>
        </w:rPr>
        <w:t>vânz</w:t>
      </w:r>
      <w:r w:rsidRPr="00A47A4E">
        <w:rPr>
          <w:lang w:val="ro-RO"/>
        </w:rPr>
        <w:t>are a bunului. În cazul dat acontul nu se restituie nici unuia din participanţii la licitaţie;</w:t>
      </w:r>
    </w:p>
    <w:p w:rsidR="008E2F54" w:rsidRDefault="008E2F54" w:rsidP="008E2F54">
      <w:pPr>
        <w:pStyle w:val="NormalWeb"/>
        <w:numPr>
          <w:ilvl w:val="0"/>
          <w:numId w:val="8"/>
        </w:numPr>
        <w:suppressAutoHyphens/>
        <w:spacing w:before="120" w:after="0"/>
        <w:ind w:hanging="284"/>
        <w:jc w:val="both"/>
      </w:pPr>
      <w:r w:rsidRPr="00CE6C60">
        <w:rPr>
          <w:lang w:val="ro-RO"/>
        </w:rPr>
        <w:t>refuzului p</w:t>
      </w:r>
      <w:r w:rsidRPr="00A47A4E">
        <w:t xml:space="preserve">articipantului la licitaţie, căruia i s-a adjudecat bunul, să semneze procesul-verbal privind desfăşurarea licitaţiei, să semneze contractul de vânzare-cumpărare sau să achite preţul de </w:t>
      </w:r>
      <w:r>
        <w:t>vânz</w:t>
      </w:r>
      <w:r w:rsidRPr="00A47A4E">
        <w:t xml:space="preserve">are al bunului în termenul stabilit. </w:t>
      </w:r>
    </w:p>
    <w:p w:rsidR="008E2F54" w:rsidRPr="00A47A4E" w:rsidRDefault="008E2F54" w:rsidP="00BF6F89">
      <w:pPr>
        <w:pStyle w:val="NormalWeb"/>
        <w:numPr>
          <w:ilvl w:val="0"/>
          <w:numId w:val="7"/>
        </w:numPr>
        <w:suppressAutoHyphens/>
        <w:spacing w:before="120" w:after="0"/>
        <w:ind w:left="567" w:hanging="283"/>
        <w:jc w:val="both"/>
      </w:pPr>
      <w:r>
        <w:t>Î</w:t>
      </w:r>
      <w:r w:rsidRPr="00A47A4E">
        <w:t>n cazurile indicate în p. 1</w:t>
      </w:r>
      <w:r w:rsidR="00BF6F89">
        <w:t>2</w:t>
      </w:r>
      <w:r w:rsidRPr="00A47A4E">
        <w:t xml:space="preserve">) lit. d)  </w:t>
      </w:r>
      <w:r w:rsidRPr="00CE6C60">
        <w:rPr>
          <w:lang w:val="ro-RO"/>
        </w:rPr>
        <w:t>p</w:t>
      </w:r>
      <w:r w:rsidRPr="00A47A4E">
        <w:t>articipantul la licitaţie căruia i s-a adjudecat bunul este lipsit de dreptul de a participa în continuare la licitaţiile privind bunul dat.</w:t>
      </w:r>
    </w:p>
    <w:p w:rsidR="008E2F54" w:rsidRPr="00A47A4E" w:rsidRDefault="008E2F54" w:rsidP="008E2F54">
      <w:pPr>
        <w:pStyle w:val="NormalWeb"/>
        <w:numPr>
          <w:ilvl w:val="0"/>
          <w:numId w:val="7"/>
        </w:numPr>
        <w:suppressAutoHyphens/>
        <w:spacing w:before="120" w:after="0"/>
        <w:ind w:left="268" w:firstLine="0"/>
        <w:jc w:val="both"/>
      </w:pPr>
      <w:r w:rsidRPr="00A47A4E">
        <w:t xml:space="preserve">Cheltuielile privind încheierea/autentificarea/înregistrarea contractului de </w:t>
      </w:r>
      <w:r>
        <w:t>vânz</w:t>
      </w:r>
      <w:r w:rsidRPr="00A47A4E">
        <w:t xml:space="preserve">are-cumpărare a bunului vor fi suportate de către </w:t>
      </w:r>
      <w:r w:rsidRPr="00A47A4E">
        <w:rPr>
          <w:lang w:val="ro-RO"/>
        </w:rPr>
        <w:t>p</w:t>
      </w:r>
      <w:r w:rsidRPr="00A47A4E">
        <w:t>articipantul la licitaţie, căruia i s-a adjudecat bunul.</w:t>
      </w:r>
    </w:p>
    <w:p w:rsidR="008E2F54" w:rsidRPr="00A47A4E" w:rsidRDefault="008E2F54" w:rsidP="00BF6F89">
      <w:pPr>
        <w:pStyle w:val="NormalWeb"/>
        <w:suppressAutoHyphens/>
        <w:spacing w:before="120" w:after="0"/>
        <w:ind w:left="268"/>
        <w:jc w:val="both"/>
      </w:pPr>
    </w:p>
    <w:p w:rsidR="00DA771E" w:rsidRDefault="008E2F54" w:rsidP="008E2F54">
      <w:pPr>
        <w:ind w:firstLine="567"/>
        <w:rPr>
          <w:b/>
          <w:lang w:val="en-GB"/>
        </w:rPr>
      </w:pPr>
      <w:r w:rsidRPr="00A47A4E">
        <w:t xml:space="preserve">  </w:t>
      </w:r>
      <w:r w:rsidRPr="00A47A4E">
        <w:rPr>
          <w:b/>
          <w:lang w:val="en-GB"/>
        </w:rPr>
        <w:t xml:space="preserve">Cu condiţiile petrecerii  licitaţiei am făcut cunoştinţă: </w:t>
      </w:r>
    </w:p>
    <w:p w:rsidR="008E2F54" w:rsidRPr="00077057" w:rsidRDefault="008E2F54" w:rsidP="00DA771E">
      <w:pPr>
        <w:rPr>
          <w:lang w:val="en-GB"/>
        </w:rPr>
      </w:pPr>
      <w:bookmarkStart w:id="0" w:name="_GoBack"/>
      <w:bookmarkEnd w:id="0"/>
      <w:r>
        <w:rPr>
          <w:b/>
          <w:lang w:val="en-GB"/>
        </w:rPr>
        <w:t>________________________________________________________________________________</w:t>
      </w:r>
    </w:p>
    <w:p w:rsidR="008E2F54" w:rsidRPr="00A47A4E" w:rsidRDefault="008E2F54" w:rsidP="008E2F54">
      <w:pPr>
        <w:ind w:firstLine="567"/>
        <w:rPr>
          <w:sz w:val="16"/>
          <w:szCs w:val="16"/>
          <w:lang w:val="en-GB"/>
        </w:rPr>
      </w:pPr>
      <w:r>
        <w:rPr>
          <w:sz w:val="16"/>
          <w:szCs w:val="16"/>
          <w:lang w:val="en-GB"/>
        </w:rPr>
        <w:t xml:space="preserve">                     </w:t>
      </w:r>
      <w:r w:rsidRPr="00A47A4E">
        <w:rPr>
          <w:sz w:val="16"/>
          <w:szCs w:val="16"/>
          <w:lang w:val="en-GB"/>
        </w:rPr>
        <w:t xml:space="preserve">                                                                                </w:t>
      </w:r>
      <w:r>
        <w:rPr>
          <w:sz w:val="16"/>
          <w:szCs w:val="16"/>
          <w:lang w:val="en-GB"/>
        </w:rPr>
        <w:t xml:space="preserve">                   </w:t>
      </w:r>
      <w:r w:rsidRPr="00A47A4E">
        <w:rPr>
          <w:sz w:val="16"/>
          <w:szCs w:val="16"/>
          <w:lang w:val="en-GB"/>
        </w:rPr>
        <w:t>(numele, prenumele, debumirea, semnătura, ştampila)</w:t>
      </w:r>
    </w:p>
    <w:p w:rsidR="002E6723" w:rsidRDefault="008E2F54">
      <w:r>
        <w:t xml:space="preserve"> </w:t>
      </w:r>
    </w:p>
    <w:sectPr w:rsidR="002E6723">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54" w:rsidRDefault="008E2F54" w:rsidP="008E2F54">
      <w:r>
        <w:separator/>
      </w:r>
    </w:p>
  </w:endnote>
  <w:endnote w:type="continuationSeparator" w:id="0">
    <w:p w:rsidR="008E2F54" w:rsidRDefault="008E2F54" w:rsidP="008E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89" w:rsidRDefault="00BF6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89" w:rsidRDefault="00BF6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89" w:rsidRDefault="00BF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54" w:rsidRDefault="008E2F54" w:rsidP="008E2F54">
      <w:r>
        <w:separator/>
      </w:r>
    </w:p>
  </w:footnote>
  <w:footnote w:type="continuationSeparator" w:id="0">
    <w:p w:rsidR="008E2F54" w:rsidRDefault="008E2F54" w:rsidP="008E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1E" w:rsidRPr="00DD09D2" w:rsidRDefault="00DA771E" w:rsidP="00DA771E">
    <w:pPr>
      <w:pStyle w:val="HTMLPreformatted"/>
      <w:shd w:val="clear" w:color="auto" w:fill="F8F9FA"/>
      <w:jc w:val="right"/>
      <w:rPr>
        <w:rStyle w:val="y2iqfc"/>
        <w:rFonts w:ascii="Arial" w:hAnsi="Arial" w:cs="Arial"/>
        <w:bCs/>
        <w:color w:val="B3B3B3"/>
        <w:sz w:val="16"/>
        <w:szCs w:val="16"/>
      </w:rPr>
    </w:pPr>
    <w:r>
      <w:rPr>
        <w:rStyle w:val="y2iqfc"/>
        <w:rFonts w:ascii="Arial" w:hAnsi="Arial" w:cs="Arial"/>
        <w:b/>
        <w:color w:val="202124"/>
        <w:lang w:val="ro-RO"/>
      </w:rPr>
      <w:fldChar w:fldCharType="begin" w:fldLock="1"/>
    </w:r>
    <w:r>
      <w:rPr>
        <w:rStyle w:val="y2iqfc"/>
        <w:rFonts w:ascii="Arial" w:hAnsi="Arial" w:cs="Arial"/>
        <w:b/>
        <w:color w:val="202124"/>
        <w:lang w:val="ro-RO"/>
      </w:rPr>
      <w:instrText xml:space="preserve"> DOCPROPERTY bjHeaderEvenPageDocProperty \* MERGEFORMAT </w:instrText>
    </w:r>
    <w:r>
      <w:rPr>
        <w:rStyle w:val="y2iqfc"/>
        <w:rFonts w:ascii="Arial" w:hAnsi="Arial" w:cs="Arial"/>
        <w:b/>
        <w:color w:val="202124"/>
        <w:lang w:val="ro-RO"/>
      </w:rPr>
      <w:fldChar w:fldCharType="separate"/>
    </w:r>
    <w:r w:rsidRPr="00DD09D2">
      <w:rPr>
        <w:rStyle w:val="y2iqfc"/>
        <w:rFonts w:ascii="Arial" w:hAnsi="Arial" w:cs="Arial"/>
        <w:bCs/>
        <w:color w:val="B3B3B3"/>
        <w:sz w:val="16"/>
        <w:szCs w:val="16"/>
      </w:rPr>
      <w:t>maib | de uz intern</w:t>
    </w:r>
  </w:p>
  <w:p w:rsidR="008E2F54" w:rsidRPr="00DA771E" w:rsidRDefault="00DA771E" w:rsidP="00DA771E">
    <w:pPr>
      <w:pStyle w:val="Header"/>
      <w:jc w:val="right"/>
    </w:pPr>
    <w:r w:rsidRPr="00DD09D2">
      <w:rPr>
        <w:rStyle w:val="y2iqfc"/>
        <w:rFonts w:ascii="Arial" w:hAnsi="Arial" w:cs="Arial"/>
        <w:bCs/>
        <w:color w:val="B3B3B3"/>
        <w:sz w:val="16"/>
        <w:szCs w:val="16"/>
      </w:rPr>
      <w:t>informaţie accesibilă doar angajaților băncii</w:t>
    </w:r>
    <w:r>
      <w:rPr>
        <w:rStyle w:val="y2iqfc"/>
        <w:rFonts w:ascii="Arial" w:hAnsi="Arial" w:cs="Arial"/>
        <w:b/>
        <w:color w:val="202124"/>
        <w:lang w:val="ro-R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1E" w:rsidRPr="00DD09D2" w:rsidRDefault="00DA771E" w:rsidP="00DA771E">
    <w:pPr>
      <w:pStyle w:val="HTMLPreformatted"/>
      <w:shd w:val="clear" w:color="auto" w:fill="F8F9FA"/>
      <w:jc w:val="right"/>
      <w:rPr>
        <w:rStyle w:val="y2iqfc"/>
        <w:rFonts w:ascii="Arial" w:hAnsi="Arial" w:cs="Arial"/>
        <w:bCs/>
        <w:color w:val="B3B3B3"/>
        <w:sz w:val="16"/>
        <w:szCs w:val="16"/>
      </w:rPr>
    </w:pPr>
    <w:r>
      <w:rPr>
        <w:rStyle w:val="y2iqfc"/>
        <w:rFonts w:ascii="Arial" w:hAnsi="Arial" w:cs="Arial"/>
        <w:b/>
        <w:color w:val="202124"/>
        <w:lang w:val="ro-RO"/>
      </w:rPr>
      <w:fldChar w:fldCharType="begin" w:fldLock="1"/>
    </w:r>
    <w:r>
      <w:rPr>
        <w:rStyle w:val="y2iqfc"/>
        <w:rFonts w:ascii="Arial" w:hAnsi="Arial" w:cs="Arial"/>
        <w:b/>
        <w:color w:val="202124"/>
        <w:lang w:val="ro-RO"/>
      </w:rPr>
      <w:instrText xml:space="preserve"> DOCPROPERTY bjHeaderBothDocProperty \* MERGEFORMAT </w:instrText>
    </w:r>
    <w:r>
      <w:rPr>
        <w:rStyle w:val="y2iqfc"/>
        <w:rFonts w:ascii="Arial" w:hAnsi="Arial" w:cs="Arial"/>
        <w:b/>
        <w:color w:val="202124"/>
        <w:lang w:val="ro-RO"/>
      </w:rPr>
      <w:fldChar w:fldCharType="separate"/>
    </w:r>
    <w:r w:rsidRPr="00DD09D2">
      <w:rPr>
        <w:rStyle w:val="y2iqfc"/>
        <w:rFonts w:ascii="Arial" w:hAnsi="Arial" w:cs="Arial"/>
        <w:bCs/>
        <w:color w:val="B3B3B3"/>
        <w:sz w:val="16"/>
        <w:szCs w:val="16"/>
      </w:rPr>
      <w:t>maib | de uz intern</w:t>
    </w:r>
  </w:p>
  <w:p w:rsidR="008E2F54" w:rsidRPr="00DA771E" w:rsidRDefault="00DA771E" w:rsidP="00DA771E">
    <w:pPr>
      <w:pStyle w:val="Header"/>
      <w:jc w:val="right"/>
    </w:pPr>
    <w:r w:rsidRPr="00DD09D2">
      <w:rPr>
        <w:rStyle w:val="y2iqfc"/>
        <w:rFonts w:ascii="Arial" w:hAnsi="Arial" w:cs="Arial"/>
        <w:bCs/>
        <w:color w:val="B3B3B3"/>
        <w:sz w:val="16"/>
        <w:szCs w:val="16"/>
      </w:rPr>
      <w:t>informaţie accesibilă doar angajaților băncii</w:t>
    </w:r>
    <w:r>
      <w:rPr>
        <w:rStyle w:val="y2iqfc"/>
        <w:rFonts w:ascii="Arial" w:hAnsi="Arial" w:cs="Arial"/>
        <w:b/>
        <w:color w:val="202124"/>
        <w:lang w:val="ro-R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71E" w:rsidRPr="00DD09D2" w:rsidRDefault="00DA771E" w:rsidP="00DA771E">
    <w:pPr>
      <w:pStyle w:val="HTMLPreformatted"/>
      <w:shd w:val="clear" w:color="auto" w:fill="F8F9FA"/>
      <w:jc w:val="right"/>
      <w:rPr>
        <w:rStyle w:val="y2iqfc"/>
        <w:rFonts w:ascii="Arial" w:hAnsi="Arial" w:cs="Arial"/>
        <w:bCs/>
        <w:color w:val="B3B3B3"/>
        <w:sz w:val="16"/>
        <w:szCs w:val="16"/>
      </w:rPr>
    </w:pPr>
    <w:r>
      <w:rPr>
        <w:rStyle w:val="y2iqfc"/>
        <w:rFonts w:ascii="Arial" w:hAnsi="Arial" w:cs="Arial"/>
        <w:b/>
        <w:color w:val="202124"/>
        <w:lang w:val="ro-RO"/>
      </w:rPr>
      <w:fldChar w:fldCharType="begin" w:fldLock="1"/>
    </w:r>
    <w:r>
      <w:rPr>
        <w:rStyle w:val="y2iqfc"/>
        <w:rFonts w:ascii="Arial" w:hAnsi="Arial" w:cs="Arial"/>
        <w:b/>
        <w:color w:val="202124"/>
        <w:lang w:val="ro-RO"/>
      </w:rPr>
      <w:instrText xml:space="preserve"> DOCPROPERTY bjHeaderFirstPageDocProperty \* MERGEFORMAT </w:instrText>
    </w:r>
    <w:r>
      <w:rPr>
        <w:rStyle w:val="y2iqfc"/>
        <w:rFonts w:ascii="Arial" w:hAnsi="Arial" w:cs="Arial"/>
        <w:b/>
        <w:color w:val="202124"/>
        <w:lang w:val="ro-RO"/>
      </w:rPr>
      <w:fldChar w:fldCharType="separate"/>
    </w:r>
    <w:r w:rsidRPr="00DD09D2">
      <w:rPr>
        <w:rStyle w:val="y2iqfc"/>
        <w:rFonts w:ascii="Arial" w:hAnsi="Arial" w:cs="Arial"/>
        <w:bCs/>
        <w:color w:val="B3B3B3"/>
        <w:sz w:val="16"/>
        <w:szCs w:val="16"/>
      </w:rPr>
      <w:t>maib | de uz intern</w:t>
    </w:r>
  </w:p>
  <w:p w:rsidR="008E2F54" w:rsidRPr="00DA771E" w:rsidRDefault="00DA771E" w:rsidP="00DA771E">
    <w:pPr>
      <w:pStyle w:val="Header"/>
      <w:jc w:val="right"/>
    </w:pPr>
    <w:r w:rsidRPr="00DD09D2">
      <w:rPr>
        <w:rStyle w:val="y2iqfc"/>
        <w:rFonts w:ascii="Arial" w:hAnsi="Arial" w:cs="Arial"/>
        <w:bCs/>
        <w:color w:val="B3B3B3"/>
        <w:sz w:val="16"/>
        <w:szCs w:val="16"/>
      </w:rPr>
      <w:t>informaţie accesibilă doar angajaților băncii</w:t>
    </w:r>
    <w:r>
      <w:rPr>
        <w:rStyle w:val="y2iqfc"/>
        <w:rFonts w:ascii="Arial" w:hAnsi="Arial" w:cs="Arial"/>
        <w:b/>
        <w:color w:val="202124"/>
        <w:lang w:val="ro-R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lowerLetter"/>
      <w:lvlText w:val="%1)"/>
      <w:lvlJc w:val="left"/>
      <w:pPr>
        <w:tabs>
          <w:tab w:val="num" w:pos="0"/>
        </w:tabs>
      </w:pPr>
    </w:lvl>
  </w:abstractNum>
  <w:abstractNum w:abstractNumId="1" w15:restartNumberingAfterBreak="0">
    <w:nsid w:val="03C830D2"/>
    <w:multiLevelType w:val="hybridMultilevel"/>
    <w:tmpl w:val="214CA4EA"/>
    <w:lvl w:ilvl="0" w:tplc="D8F0254A">
      <w:start w:val="13"/>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05054609"/>
    <w:multiLevelType w:val="multilevel"/>
    <w:tmpl w:val="0409001D"/>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0F47BC"/>
    <w:multiLevelType w:val="singleLevel"/>
    <w:tmpl w:val="00000003"/>
    <w:lvl w:ilvl="0">
      <w:start w:val="1"/>
      <w:numFmt w:val="lowerLetter"/>
      <w:lvlText w:val="%1)"/>
      <w:lvlJc w:val="left"/>
      <w:pPr>
        <w:tabs>
          <w:tab w:val="num" w:pos="0"/>
        </w:tabs>
      </w:pPr>
    </w:lvl>
  </w:abstractNum>
  <w:abstractNum w:abstractNumId="4" w15:restartNumberingAfterBreak="0">
    <w:nsid w:val="557A6C63"/>
    <w:multiLevelType w:val="singleLevel"/>
    <w:tmpl w:val="00000003"/>
    <w:lvl w:ilvl="0">
      <w:start w:val="1"/>
      <w:numFmt w:val="lowerLetter"/>
      <w:lvlText w:val="%1)"/>
      <w:lvlJc w:val="left"/>
      <w:pPr>
        <w:tabs>
          <w:tab w:val="num" w:pos="0"/>
        </w:tabs>
      </w:pPr>
    </w:lvl>
  </w:abstractNum>
  <w:abstractNum w:abstractNumId="5" w15:restartNumberingAfterBreak="0">
    <w:nsid w:val="748C6E97"/>
    <w:multiLevelType w:val="hybridMultilevel"/>
    <w:tmpl w:val="051EA5E8"/>
    <w:lvl w:ilvl="0" w:tplc="09382D7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95875A2"/>
    <w:multiLevelType w:val="singleLevel"/>
    <w:tmpl w:val="00000003"/>
    <w:lvl w:ilvl="0">
      <w:start w:val="1"/>
      <w:numFmt w:val="lowerLetter"/>
      <w:lvlText w:val="%1)"/>
      <w:lvlJc w:val="left"/>
      <w:pPr>
        <w:tabs>
          <w:tab w:val="num" w:pos="0"/>
        </w:tabs>
      </w:pPr>
    </w:lvl>
  </w:abstractNum>
  <w:abstractNum w:abstractNumId="7" w15:restartNumberingAfterBreak="0">
    <w:nsid w:val="7C9F42C6"/>
    <w:multiLevelType w:val="hybridMultilevel"/>
    <w:tmpl w:val="D7962D2C"/>
    <w:lvl w:ilvl="0" w:tplc="A170D2AE">
      <w:start w:val="2"/>
      <w:numFmt w:val="lowerLetter"/>
      <w:lvlText w:val="%1)"/>
      <w:lvlJc w:val="left"/>
      <w:pPr>
        <w:ind w:left="1293" w:hanging="360"/>
      </w:pPr>
      <w:rPr>
        <w:rFonts w:hint="default"/>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FE"/>
    <w:rsid w:val="002E6723"/>
    <w:rsid w:val="008E2F54"/>
    <w:rsid w:val="00A90FFE"/>
    <w:rsid w:val="00BF6F89"/>
    <w:rsid w:val="00DA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90F13"/>
  <w15:chartTrackingRefBased/>
  <w15:docId w15:val="{E8F9CA29-890B-49C4-B640-8AAD9C5E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F54"/>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F54"/>
    <w:pPr>
      <w:tabs>
        <w:tab w:val="center" w:pos="4844"/>
        <w:tab w:val="right" w:pos="9689"/>
      </w:tabs>
    </w:pPr>
  </w:style>
  <w:style w:type="character" w:customStyle="1" w:styleId="HeaderChar">
    <w:name w:val="Header Char"/>
    <w:basedOn w:val="DefaultParagraphFont"/>
    <w:link w:val="Header"/>
    <w:uiPriority w:val="99"/>
    <w:rsid w:val="008E2F54"/>
  </w:style>
  <w:style w:type="paragraph" w:styleId="Footer">
    <w:name w:val="footer"/>
    <w:basedOn w:val="Normal"/>
    <w:link w:val="FooterChar"/>
    <w:uiPriority w:val="99"/>
    <w:unhideWhenUsed/>
    <w:rsid w:val="008E2F54"/>
    <w:pPr>
      <w:tabs>
        <w:tab w:val="center" w:pos="4844"/>
        <w:tab w:val="right" w:pos="9689"/>
      </w:tabs>
    </w:pPr>
  </w:style>
  <w:style w:type="character" w:customStyle="1" w:styleId="FooterChar">
    <w:name w:val="Footer Char"/>
    <w:basedOn w:val="DefaultParagraphFont"/>
    <w:link w:val="Footer"/>
    <w:uiPriority w:val="99"/>
    <w:rsid w:val="008E2F54"/>
  </w:style>
  <w:style w:type="paragraph" w:styleId="BodyText">
    <w:name w:val="Body Text"/>
    <w:basedOn w:val="Normal"/>
    <w:link w:val="BodyTextChar"/>
    <w:semiHidden/>
    <w:rsid w:val="008E2F54"/>
    <w:pPr>
      <w:jc w:val="both"/>
    </w:pPr>
    <w:rPr>
      <w:lang w:val="ro-MD"/>
    </w:rPr>
  </w:style>
  <w:style w:type="character" w:customStyle="1" w:styleId="BodyTextChar">
    <w:name w:val="Body Text Char"/>
    <w:basedOn w:val="DefaultParagraphFont"/>
    <w:link w:val="BodyText"/>
    <w:semiHidden/>
    <w:rsid w:val="008E2F54"/>
    <w:rPr>
      <w:rFonts w:ascii="Times New Roman" w:eastAsia="Times New Roman" w:hAnsi="Times New Roman" w:cs="Times New Roman"/>
      <w:sz w:val="24"/>
      <w:szCs w:val="24"/>
      <w:lang w:val="ro-MD" w:eastAsia="ar-SA"/>
    </w:rPr>
  </w:style>
  <w:style w:type="paragraph" w:styleId="NormalWeb">
    <w:name w:val="Normal (Web)"/>
    <w:basedOn w:val="Normal"/>
    <w:rsid w:val="008E2F54"/>
    <w:pPr>
      <w:suppressAutoHyphens w:val="0"/>
      <w:spacing w:before="280" w:after="119"/>
    </w:pPr>
    <w:rPr>
      <w:lang w:val="en-GB"/>
    </w:rPr>
  </w:style>
  <w:style w:type="paragraph" w:styleId="ListParagraph">
    <w:name w:val="List Paragraph"/>
    <w:aliases w:val="TESMEC - Titolo 3,Normal Numbered,Számozott ApPello,Table of contents numbered,Testo elenco,Titolo_3,text bullet,FVP-Paragrafo,lp1,Heading x1,heading 2(bullets),Heading 21,Scriptoria bullet points,List Paragraph 1,Абзац маркированнный"/>
    <w:basedOn w:val="Normal"/>
    <w:link w:val="ListParagraphChar"/>
    <w:uiPriority w:val="34"/>
    <w:qFormat/>
    <w:rsid w:val="008E2F54"/>
    <w:pPr>
      <w:suppressAutoHyphens w:val="0"/>
      <w:spacing w:line="288" w:lineRule="auto"/>
      <w:ind w:left="720"/>
    </w:pPr>
    <w:rPr>
      <w:rFonts w:ascii="Arial" w:hAnsi="Arial"/>
      <w:sz w:val="22"/>
      <w:lang w:val="en-GB" w:eastAsia="de-AT"/>
    </w:rPr>
  </w:style>
  <w:style w:type="paragraph" w:styleId="HTMLPreformatted">
    <w:name w:val="HTML Preformatted"/>
    <w:basedOn w:val="Normal"/>
    <w:link w:val="HTMLPreformattedChar"/>
    <w:uiPriority w:val="99"/>
    <w:semiHidden/>
    <w:unhideWhenUsed/>
    <w:rsid w:val="008E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8E2F54"/>
    <w:rPr>
      <w:rFonts w:ascii="Courier New" w:eastAsia="Times New Roman" w:hAnsi="Courier New" w:cs="Courier New"/>
      <w:sz w:val="20"/>
      <w:szCs w:val="20"/>
    </w:rPr>
  </w:style>
  <w:style w:type="character" w:customStyle="1" w:styleId="ListParagraphChar">
    <w:name w:val="List Paragraph Char"/>
    <w:aliases w:val="TESMEC - Titolo 3 Char,Normal Numbered Char,Számozott ApPello Char,Table of contents numbered Char,Testo elenco Char,Titolo_3 Char,text bullet Char,FVP-Paragrafo Char,lp1 Char,Heading x1 Char,heading 2(bullets) Char,Heading 21 Char"/>
    <w:link w:val="ListParagraph"/>
    <w:uiPriority w:val="34"/>
    <w:rsid w:val="008E2F54"/>
    <w:rPr>
      <w:rFonts w:ascii="Arial" w:eastAsia="Times New Roman" w:hAnsi="Arial" w:cs="Times New Roman"/>
      <w:szCs w:val="24"/>
      <w:lang w:val="en-GB" w:eastAsia="de-AT"/>
    </w:rPr>
  </w:style>
  <w:style w:type="character" w:customStyle="1" w:styleId="y2iqfc">
    <w:name w:val="y2iqfc"/>
    <w:basedOn w:val="DefaultParagraphFont"/>
    <w:rsid w:val="008E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TUFJQi1MT0NBTFxMZW9uaWQuQ29qb2NhcnU8L1VzZXJOYW1lPjxEYXRlVGltZT4wNC4wOS4yMDIzIDEyOjA3OjE2PC9EYXRlVGltZT48TGFiZWxTdHJpbmc+bWFpYiB8IGRlIHV6IGludGVy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abdf4888-dc0d-474e-9c68-564b2682cbef" origin="userSelected">
  <element uid="id_classification_confidential" value=""/>
</sisl>
</file>

<file path=customXml/itemProps1.xml><?xml version="1.0" encoding="utf-8"?>
<ds:datastoreItem xmlns:ds="http://schemas.openxmlformats.org/officeDocument/2006/customXml" ds:itemID="{DEBDD0E6-CD9D-43E6-8CD4-CBE936BFCBD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EAFCE13-FDB2-4DCD-86D0-DDB2AE27E2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838</Words>
  <Characters>4783</Characters>
  <Application>Microsoft Office Word</Application>
  <DocSecurity>0</DocSecurity>
  <Lines>39</Lines>
  <Paragraphs>11</Paragraphs>
  <ScaleCrop>false</ScaleCrop>
  <Company>Moldova-Agroindbank</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I. Cojocaru</dc:creator>
  <cp:keywords/>
  <dc:description>BJDTCD040923173256BJGMNPC00001947</dc:description>
  <cp:lastModifiedBy>Leonid I. Cojocaru</cp:lastModifiedBy>
  <cp:revision>4</cp:revision>
  <dcterms:created xsi:type="dcterms:W3CDTF">2023-09-04T12:06:00Z</dcterms:created>
  <dcterms:modified xsi:type="dcterms:W3CDTF">2023-09-04T14:32:00Z</dcterms:modified>
  <cp:category>maib | de uz 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58793295-46a4-4e3a-ab30-797e4b693fe9</vt:lpwstr>
  </property>
  <property fmtid="{D5CDD505-2E9C-101B-9397-08002B2CF9AE}" pid="3" name="bjSaver">
    <vt:lpwstr>hrqz2fPyRmQhokiKseEnub9g8wkSNOCu</vt:lpwstr>
  </property>
  <property fmtid="{D5CDD505-2E9C-101B-9397-08002B2CF9AE}" pid="4" name="bjDocumentLabelXML">
    <vt:lpwstr>&lt;?xml version="1.0" encoding="us-ascii"?&gt;&lt;sisl xmlns:xsd="http://www.w3.org/2001/XMLSchema" xmlns:xsi="http://www.w3.org/2001/XMLSchema-instance" sislVersion="0" policy="abdf4888-dc0d-474e-9c68-564b2682cbef"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maib | de uz intern</vt:lpwstr>
  </property>
  <property fmtid="{D5CDD505-2E9C-101B-9397-08002B2CF9AE}" pid="7" name="bjClsUserRVM">
    <vt:lpwstr>[]</vt:lpwstr>
  </property>
  <property fmtid="{D5CDD505-2E9C-101B-9397-08002B2CF9AE}" pid="8" name="bjHeaderBothDocProperty">
    <vt:lpwstr>maib | de uz intern_x000d_
informaţie accesibilă doar angajaților băncii</vt:lpwstr>
  </property>
  <property fmtid="{D5CDD505-2E9C-101B-9397-08002B2CF9AE}" pid="9" name="bjHeaderFirstPageDocProperty">
    <vt:lpwstr>maib | de uz intern_x000d_
informaţie accesibilă doar angajaților băncii</vt:lpwstr>
  </property>
  <property fmtid="{D5CDD505-2E9C-101B-9397-08002B2CF9AE}" pid="10" name="bjHeaderEvenPageDocProperty">
    <vt:lpwstr>maib | de uz intern_x000d_
informaţie accesibilă doar angajaților băncii</vt:lpwstr>
  </property>
  <property fmtid="{D5CDD505-2E9C-101B-9397-08002B2CF9AE}" pid="11" name="bjLabelHistoryID">
    <vt:lpwstr>{DEBDD0E6-CD9D-43E6-8CD4-CBE936BFCBD6}</vt:lpwstr>
  </property>
</Properties>
</file>